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27" w:rsidRPr="005A7F6B" w:rsidRDefault="00584E27" w:rsidP="005A7F6B">
      <w:pPr>
        <w:shd w:val="clear" w:color="auto" w:fill="FFFFFF"/>
        <w:spacing w:line="276" w:lineRule="auto"/>
        <w:ind w:firstLine="993"/>
        <w:jc w:val="both"/>
        <w:textAlignment w:val="baseline"/>
      </w:pPr>
      <w:proofErr w:type="gramStart"/>
      <w:r w:rsidRPr="005A7F6B">
        <w:t xml:space="preserve">В своей деятельности факультет физического воспитания руководствуется </w:t>
      </w:r>
      <w:hyperlink r:id="rId6" w:history="1">
        <w:r w:rsidRPr="005A7F6B">
          <w:t>Кодексом Республики Беларусь об образовании</w:t>
        </w:r>
      </w:hyperlink>
      <w:r w:rsidRPr="005A7F6B">
        <w:t xml:space="preserve">, </w:t>
      </w:r>
      <w:hyperlink r:id="rId7" w:history="1">
        <w:r w:rsidRPr="005A7F6B">
          <w:t>Постановлениями Министерства образования Республики Беларусь</w:t>
        </w:r>
      </w:hyperlink>
      <w:r w:rsidRPr="005A7F6B">
        <w:t>, Государственной программой «Образование и молодежная политика» на 2021–2025 годы, «Программой непрерывного воспитания детей и учащейся молодежи на 2021-2025 годы», Уставом учреждения образования «Могилевский государственный университет имени А.А. Кулешова», Миссией и Политикой учреждения образования «Могилевский государственный университет имени А.А. Кулешова» в области</w:t>
      </w:r>
      <w:proofErr w:type="gramEnd"/>
      <w:r w:rsidRPr="005A7F6B">
        <w:t xml:space="preserve"> качества, Положением о факультете физического воспитания, решениями Совета университета, ученого Совета, научно-методического Совета, Совета факультета физического воспитания.</w:t>
      </w:r>
    </w:p>
    <w:p w:rsidR="00584E27" w:rsidRPr="005A7F6B" w:rsidRDefault="00584E27" w:rsidP="005A7F6B">
      <w:pPr>
        <w:spacing w:line="276" w:lineRule="auto"/>
        <w:ind w:firstLine="993"/>
        <w:jc w:val="both"/>
        <w:rPr>
          <w:b/>
          <w:bCs/>
        </w:rPr>
      </w:pPr>
      <w:r w:rsidRPr="005A7F6B">
        <w:rPr>
          <w:b/>
          <w:bCs/>
        </w:rPr>
        <w:t xml:space="preserve">Цель </w:t>
      </w:r>
      <w:r w:rsidR="00CE018C" w:rsidRPr="005A7F6B">
        <w:rPr>
          <w:b/>
          <w:bCs/>
        </w:rPr>
        <w:t>факультета</w:t>
      </w:r>
      <w:r w:rsidRPr="005A7F6B">
        <w:rPr>
          <w:b/>
          <w:bCs/>
        </w:rPr>
        <w:t xml:space="preserve">: </w:t>
      </w:r>
    </w:p>
    <w:p w:rsidR="00584E27" w:rsidRPr="00B3766D" w:rsidRDefault="00584E27" w:rsidP="005A7F6B">
      <w:pPr>
        <w:spacing w:line="276" w:lineRule="auto"/>
        <w:ind w:firstLine="993"/>
        <w:jc w:val="both"/>
        <w:rPr>
          <w:i/>
        </w:rPr>
      </w:pPr>
      <w:r w:rsidRPr="00B3766D">
        <w:rPr>
          <w:i/>
        </w:rPr>
        <w:t>формирование у обучающихся компетенций, соответствующих последним достижениям науки, техники и технологий, с использованием инновационных педагогических технологий, отвечающих запросам потребителей образовательных услуг и рынка труда.</w:t>
      </w:r>
    </w:p>
    <w:p w:rsidR="00B3766D" w:rsidRDefault="00CE018C" w:rsidP="005A7F6B">
      <w:pPr>
        <w:autoSpaceDE w:val="0"/>
        <w:autoSpaceDN w:val="0"/>
        <w:adjustRightInd w:val="0"/>
        <w:spacing w:line="276" w:lineRule="auto"/>
        <w:ind w:firstLine="993"/>
        <w:jc w:val="both"/>
        <w:rPr>
          <w:rFonts w:eastAsia="MS Mincho"/>
        </w:rPr>
      </w:pPr>
      <w:r w:rsidRPr="005A7F6B">
        <w:rPr>
          <w:rFonts w:eastAsia="MS Mincho"/>
        </w:rPr>
        <w:t xml:space="preserve">В 2024/2025 учебном году коллектив факультета физического воспитания </w:t>
      </w:r>
      <w:bookmarkStart w:id="0" w:name="_GoBack"/>
      <w:bookmarkEnd w:id="0"/>
      <w:r w:rsidRPr="005A7F6B">
        <w:rPr>
          <w:rFonts w:eastAsia="MS Mincho"/>
        </w:rPr>
        <w:t>продолжит решать вопросы, направленные на повышение ка</w:t>
      </w:r>
      <w:r w:rsidR="00B3766D">
        <w:rPr>
          <w:rFonts w:eastAsia="MS Mincho"/>
        </w:rPr>
        <w:t>чества подготовки специалистов.</w:t>
      </w:r>
    </w:p>
    <w:p w:rsidR="00CE018C" w:rsidRPr="00B3766D" w:rsidRDefault="00CE018C" w:rsidP="00B3766D">
      <w:pPr>
        <w:spacing w:line="276" w:lineRule="auto"/>
        <w:ind w:firstLine="993"/>
        <w:jc w:val="both"/>
        <w:rPr>
          <w:b/>
          <w:bCs/>
        </w:rPr>
      </w:pPr>
      <w:r w:rsidRPr="00B3766D">
        <w:rPr>
          <w:b/>
          <w:bCs/>
        </w:rPr>
        <w:t>Главными задачами на предстоящий учебный год являются:</w:t>
      </w:r>
    </w:p>
    <w:p w:rsidR="00584E27" w:rsidRPr="00B3766D" w:rsidRDefault="00584E27" w:rsidP="00B3766D">
      <w:pPr>
        <w:pStyle w:val="a3"/>
        <w:numPr>
          <w:ilvl w:val="0"/>
          <w:numId w:val="1"/>
        </w:numPr>
        <w:spacing w:line="276" w:lineRule="auto"/>
        <w:ind w:left="709" w:hanging="567"/>
        <w:jc w:val="both"/>
        <w:rPr>
          <w:color w:val="000000"/>
        </w:rPr>
      </w:pPr>
      <w:r w:rsidRPr="00B3766D">
        <w:rPr>
          <w:color w:val="000000"/>
        </w:rPr>
        <w:t>обеспечение рациональной организации образовательного процесса и</w:t>
      </w:r>
      <w:r w:rsidRPr="00B3766D">
        <w:rPr>
          <w:rFonts w:eastAsia="MS Mincho"/>
        </w:rPr>
        <w:t xml:space="preserve"> </w:t>
      </w:r>
      <w:r w:rsidRPr="005A7F6B">
        <w:t xml:space="preserve">повышение его эффективности за счет внедрения новых </w:t>
      </w:r>
      <w:r w:rsidRPr="00B3766D">
        <w:rPr>
          <w:rFonts w:eastAsia="MS Mincho"/>
        </w:rPr>
        <w:t xml:space="preserve">информационных </w:t>
      </w:r>
      <w:r w:rsidRPr="005A7F6B">
        <w:t>технологий,</w:t>
      </w:r>
      <w:r w:rsidRPr="00B3766D">
        <w:rPr>
          <w:rFonts w:eastAsia="MS Mincho"/>
        </w:rPr>
        <w:t xml:space="preserve"> обеспечивающих формирование у студентов соответствующих профессиональных компетенций;</w:t>
      </w:r>
    </w:p>
    <w:p w:rsidR="00584E27" w:rsidRPr="005A7F6B" w:rsidRDefault="00584E27" w:rsidP="00B3766D">
      <w:pPr>
        <w:pStyle w:val="a3"/>
        <w:numPr>
          <w:ilvl w:val="0"/>
          <w:numId w:val="1"/>
        </w:numPr>
        <w:spacing w:line="276" w:lineRule="auto"/>
        <w:ind w:left="709" w:hanging="567"/>
        <w:jc w:val="both"/>
      </w:pPr>
      <w:r w:rsidRPr="00B3766D">
        <w:rPr>
          <w:color w:val="000000"/>
        </w:rPr>
        <w:t xml:space="preserve">активизация процесса обучения </w:t>
      </w:r>
      <w:r w:rsidR="00CE018C" w:rsidRPr="00B3766D">
        <w:rPr>
          <w:color w:val="000000"/>
        </w:rPr>
        <w:t xml:space="preserve"> </w:t>
      </w:r>
      <w:r w:rsidRPr="00B3766D">
        <w:rPr>
          <w:color w:val="000000"/>
        </w:rPr>
        <w:t>и его тесной связи с практической деятельностью будущих специалистов;</w:t>
      </w:r>
    </w:p>
    <w:p w:rsidR="00584E27" w:rsidRPr="005A7F6B" w:rsidRDefault="00584E27" w:rsidP="00B3766D">
      <w:pPr>
        <w:pStyle w:val="a3"/>
        <w:numPr>
          <w:ilvl w:val="0"/>
          <w:numId w:val="1"/>
        </w:numPr>
        <w:spacing w:line="276" w:lineRule="auto"/>
        <w:ind w:left="709" w:hanging="567"/>
        <w:jc w:val="both"/>
      </w:pPr>
      <w:r w:rsidRPr="00B3766D">
        <w:rPr>
          <w:color w:val="000000"/>
        </w:rPr>
        <w:t>обеспечение роста качества знаний студентов по итогам текущей и итоговой аттестаций;</w:t>
      </w:r>
    </w:p>
    <w:p w:rsidR="00584E27" w:rsidRPr="005A7F6B" w:rsidRDefault="00584E27" w:rsidP="00B3766D">
      <w:pPr>
        <w:pStyle w:val="a3"/>
        <w:numPr>
          <w:ilvl w:val="0"/>
          <w:numId w:val="1"/>
        </w:numPr>
        <w:spacing w:line="276" w:lineRule="auto"/>
        <w:ind w:left="709" w:hanging="567"/>
        <w:jc w:val="both"/>
      </w:pPr>
      <w:r w:rsidRPr="00B3766D">
        <w:rPr>
          <w:color w:val="000000"/>
        </w:rPr>
        <w:t>содействие личностному росту, становлению гражданина и патриота, профессионала, ответственного семьянина;</w:t>
      </w:r>
    </w:p>
    <w:p w:rsidR="00584E27" w:rsidRPr="00B3766D" w:rsidRDefault="00584E27" w:rsidP="00B3766D">
      <w:pPr>
        <w:pStyle w:val="a3"/>
        <w:numPr>
          <w:ilvl w:val="0"/>
          <w:numId w:val="1"/>
        </w:numPr>
        <w:spacing w:line="276" w:lineRule="auto"/>
        <w:ind w:left="709" w:hanging="567"/>
        <w:jc w:val="both"/>
        <w:rPr>
          <w:rFonts w:eastAsia="MS Mincho"/>
        </w:rPr>
      </w:pPr>
      <w:r w:rsidRPr="005A7F6B">
        <w:t>развитие кадрового</w:t>
      </w:r>
      <w:r w:rsidR="00CE018C" w:rsidRPr="005A7F6B">
        <w:t xml:space="preserve"> потенциала кафедр факультета,</w:t>
      </w:r>
      <w:r w:rsidRPr="005A7F6B">
        <w:t xml:space="preserve"> </w:t>
      </w:r>
      <w:r w:rsidRPr="00B3766D">
        <w:rPr>
          <w:rFonts w:eastAsia="MS Mincho"/>
        </w:rPr>
        <w:t>переподготовка и повышение квалификации ППС;</w:t>
      </w:r>
    </w:p>
    <w:p w:rsidR="00584E27" w:rsidRPr="005A7F6B" w:rsidRDefault="00584E27" w:rsidP="00B3766D">
      <w:pPr>
        <w:pStyle w:val="a3"/>
        <w:numPr>
          <w:ilvl w:val="0"/>
          <w:numId w:val="1"/>
        </w:numPr>
        <w:spacing w:line="276" w:lineRule="auto"/>
        <w:ind w:left="709" w:hanging="567"/>
        <w:jc w:val="both"/>
      </w:pPr>
      <w:r w:rsidRPr="00B3766D">
        <w:rPr>
          <w:rFonts w:eastAsia="MS Mincho"/>
        </w:rPr>
        <w:t xml:space="preserve">интенсификация научно-методической и научно-исследовательской работы ППС </w:t>
      </w:r>
      <w:r w:rsidRPr="005A7F6B">
        <w:t>(участие в конференциях, конкурсах различного уровня, усиление публикационной активности студентов и преподавателей);</w:t>
      </w:r>
    </w:p>
    <w:p w:rsidR="005A7F6B" w:rsidRPr="00B3766D" w:rsidRDefault="005A7F6B" w:rsidP="00B3766D">
      <w:pPr>
        <w:pStyle w:val="a3"/>
        <w:numPr>
          <w:ilvl w:val="0"/>
          <w:numId w:val="1"/>
        </w:numPr>
        <w:spacing w:line="276" w:lineRule="auto"/>
        <w:ind w:left="709" w:hanging="567"/>
        <w:jc w:val="both"/>
        <w:rPr>
          <w:rFonts w:eastAsia="MS Mincho"/>
        </w:rPr>
      </w:pPr>
      <w:r w:rsidRPr="005A7F6B">
        <w:t xml:space="preserve">выполнение очередного этапа задания ГПНИ «Совершенствование моторного компонента целенаправленных двигательных действий человека в спортивных локомоциях на основе управления </w:t>
      </w:r>
      <w:proofErr w:type="gramStart"/>
      <w:r w:rsidRPr="005A7F6B">
        <w:t>конечным</w:t>
      </w:r>
      <w:proofErr w:type="gramEnd"/>
      <w:r w:rsidRPr="005A7F6B">
        <w:t xml:space="preserve"> состоянием биомеханических систем» «Конвергенция – 2025».</w:t>
      </w:r>
    </w:p>
    <w:p w:rsidR="00584E27" w:rsidRPr="005A7F6B" w:rsidRDefault="00584E27" w:rsidP="00B3766D">
      <w:pPr>
        <w:pStyle w:val="a3"/>
        <w:numPr>
          <w:ilvl w:val="0"/>
          <w:numId w:val="1"/>
        </w:numPr>
        <w:spacing w:line="276" w:lineRule="auto"/>
        <w:ind w:left="709" w:hanging="567"/>
        <w:jc w:val="both"/>
      </w:pPr>
      <w:r w:rsidRPr="005A7F6B">
        <w:t>совершенство</w:t>
      </w:r>
      <w:r w:rsidR="00CE018C" w:rsidRPr="005A7F6B">
        <w:t xml:space="preserve">вание </w:t>
      </w:r>
      <w:proofErr w:type="spellStart"/>
      <w:r w:rsidR="00CE018C" w:rsidRPr="005A7F6B">
        <w:t>профориентационной</w:t>
      </w:r>
      <w:proofErr w:type="spellEnd"/>
      <w:r w:rsidR="00CE018C" w:rsidRPr="005A7F6B">
        <w:t xml:space="preserve"> работы</w:t>
      </w:r>
      <w:r w:rsidRPr="005A7F6B">
        <w:t>;</w:t>
      </w:r>
    </w:p>
    <w:p w:rsidR="00584E27" w:rsidRPr="005A7F6B" w:rsidRDefault="00584E27" w:rsidP="00B3766D">
      <w:pPr>
        <w:pStyle w:val="a3"/>
        <w:numPr>
          <w:ilvl w:val="0"/>
          <w:numId w:val="1"/>
        </w:numPr>
        <w:spacing w:line="276" w:lineRule="auto"/>
        <w:ind w:left="709" w:hanging="567"/>
        <w:jc w:val="both"/>
      </w:pPr>
      <w:r w:rsidRPr="005A7F6B">
        <w:t xml:space="preserve">развитие материально-технической базы </w:t>
      </w:r>
      <w:r w:rsidR="005A7F6B" w:rsidRPr="005A7F6B">
        <w:t>факультета</w:t>
      </w:r>
      <w:r w:rsidRPr="005A7F6B">
        <w:t>;</w:t>
      </w:r>
    </w:p>
    <w:p w:rsidR="00584E27" w:rsidRDefault="00584E27" w:rsidP="00B3766D">
      <w:pPr>
        <w:pStyle w:val="a3"/>
        <w:numPr>
          <w:ilvl w:val="0"/>
          <w:numId w:val="1"/>
        </w:numPr>
        <w:spacing w:line="276" w:lineRule="auto"/>
        <w:ind w:left="709" w:hanging="567"/>
        <w:jc w:val="both"/>
      </w:pPr>
      <w:r w:rsidRPr="005A7F6B">
        <w:t>развитие сотрудничества с научными и образовательными учреждениями Республики Беларусь</w:t>
      </w:r>
      <w:r w:rsidR="005A7F6B">
        <w:t>;</w:t>
      </w:r>
    </w:p>
    <w:p w:rsidR="005A7F6B" w:rsidRPr="005A7F6B" w:rsidRDefault="005A7F6B" w:rsidP="00B3766D">
      <w:pPr>
        <w:pStyle w:val="a3"/>
        <w:numPr>
          <w:ilvl w:val="0"/>
          <w:numId w:val="1"/>
        </w:numPr>
        <w:spacing w:line="276" w:lineRule="auto"/>
        <w:ind w:left="709" w:hanging="567"/>
        <w:jc w:val="both"/>
      </w:pPr>
      <w:r>
        <w:t>развитие и совершенствование условий ранее заключенного  договора о научном сотрудничестве с Томским государственным университетом  (Россия).</w:t>
      </w:r>
    </w:p>
    <w:p w:rsidR="00584E27" w:rsidRPr="005A7F6B" w:rsidRDefault="005A7F6B" w:rsidP="005A7F6B">
      <w:pPr>
        <w:spacing w:line="276" w:lineRule="auto"/>
        <w:ind w:firstLine="993"/>
        <w:jc w:val="center"/>
      </w:pPr>
      <w:r w:rsidRPr="005A7F6B">
        <w:rPr>
          <w:rFonts w:eastAsia="MS Mincho"/>
          <w:bCs/>
        </w:rPr>
        <w:t xml:space="preserve"> </w:t>
      </w:r>
    </w:p>
    <w:p w:rsidR="00687D96" w:rsidRPr="005A7F6B" w:rsidRDefault="00B77D74" w:rsidP="005A7F6B">
      <w:pPr>
        <w:spacing w:line="276" w:lineRule="auto"/>
        <w:ind w:firstLine="993"/>
      </w:pPr>
      <w:r w:rsidRPr="005A7F6B">
        <w:t xml:space="preserve"> </w:t>
      </w:r>
    </w:p>
    <w:sectPr w:rsidR="00687D96" w:rsidRPr="005A7F6B" w:rsidSect="00687D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A2157"/>
    <w:multiLevelType w:val="hybridMultilevel"/>
    <w:tmpl w:val="89505D62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E27"/>
    <w:rsid w:val="00584E27"/>
    <w:rsid w:val="005A7F6B"/>
    <w:rsid w:val="00611542"/>
    <w:rsid w:val="00687D96"/>
    <w:rsid w:val="00B3766D"/>
    <w:rsid w:val="00B77D74"/>
    <w:rsid w:val="00BF7E5E"/>
    <w:rsid w:val="00CE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seu.bsu.by/wp-content/uploads/2018/02/OB-UTVERZHDENII-POLOZHENIYA-OB-UCHREZHDENII-VYISSHEGO-OBRAZOVANIYA-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seu.bsu.by/wp-content/uploads/2018/02/KODEKS-RESPUBLIKI-BELARUS%60-OB-OBRAZOVANII-13-yanvarya-2011-g.-N-243-Z-red.-ot-08.07.2016-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2025-03-12T13:08:00Z</dcterms:created>
  <dcterms:modified xsi:type="dcterms:W3CDTF">2025-03-12T13:08:00Z</dcterms:modified>
</cp:coreProperties>
</file>